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53EAD" w14:textId="26EFC0F7" w:rsidR="007736F7" w:rsidRPr="0027657B" w:rsidRDefault="00F91022">
      <w:pPr>
        <w:pStyle w:val="NoSpacing1"/>
        <w:rPr>
          <w:rFonts w:ascii="Arial" w:hAnsi="Arial" w:cs="Arial"/>
          <w:b/>
          <w:i/>
          <w:sz w:val="28"/>
          <w:szCs w:val="28"/>
          <w:lang w:val="de-DE"/>
        </w:rPr>
      </w:pPr>
      <w:r w:rsidRPr="0027657B">
        <w:rPr>
          <w:rFonts w:ascii="Arial" w:hAnsi="Arial" w:cs="Arial"/>
          <w:b/>
          <w:sz w:val="28"/>
          <w:szCs w:val="28"/>
          <w:lang w:val="de-DE"/>
        </w:rPr>
        <w:t>3GPP TSG-RAN WG3 #</w:t>
      </w:r>
      <w:r w:rsidR="002A625D" w:rsidRPr="0027657B">
        <w:rPr>
          <w:rFonts w:ascii="Arial" w:hAnsi="Arial" w:cs="Arial"/>
          <w:b/>
          <w:sz w:val="28"/>
          <w:szCs w:val="28"/>
          <w:lang w:val="de-DE"/>
        </w:rPr>
        <w:t>103</w:t>
      </w:r>
      <w:r w:rsidR="009F5423" w:rsidRPr="0027657B">
        <w:rPr>
          <w:rFonts w:ascii="Arial" w:hAnsi="Arial" w:cs="Arial"/>
          <w:b/>
          <w:sz w:val="28"/>
          <w:szCs w:val="28"/>
          <w:lang w:val="de-DE"/>
        </w:rPr>
        <w:tab/>
      </w:r>
      <w:r w:rsidR="009F5423" w:rsidRPr="0027657B">
        <w:rPr>
          <w:rFonts w:ascii="Arial" w:hAnsi="Arial" w:cs="Arial"/>
          <w:b/>
          <w:sz w:val="28"/>
          <w:szCs w:val="28"/>
          <w:lang w:val="de-DE"/>
        </w:rPr>
        <w:tab/>
      </w:r>
      <w:r w:rsidRPr="0027657B">
        <w:rPr>
          <w:rFonts w:ascii="Arial" w:hAnsi="Arial" w:cs="Arial"/>
          <w:b/>
          <w:sz w:val="28"/>
          <w:szCs w:val="28"/>
          <w:lang w:val="de-DE"/>
        </w:rPr>
        <w:tab/>
      </w:r>
      <w:r w:rsidR="009F5423" w:rsidRPr="0027657B">
        <w:rPr>
          <w:rFonts w:ascii="Arial" w:hAnsi="Arial" w:cs="Arial"/>
          <w:b/>
          <w:sz w:val="28"/>
          <w:szCs w:val="28"/>
          <w:lang w:val="de-DE"/>
        </w:rPr>
        <w:tab/>
      </w:r>
      <w:r w:rsidR="009F5423" w:rsidRPr="0027657B">
        <w:rPr>
          <w:rFonts w:ascii="Arial" w:hAnsi="Arial" w:cs="Arial"/>
          <w:b/>
          <w:sz w:val="28"/>
          <w:szCs w:val="28"/>
          <w:lang w:val="de-DE"/>
        </w:rPr>
        <w:tab/>
      </w:r>
      <w:r w:rsidR="00831445" w:rsidRPr="0027657B">
        <w:rPr>
          <w:rFonts w:ascii="Arial" w:hAnsi="Arial" w:cs="Arial"/>
          <w:b/>
          <w:sz w:val="28"/>
          <w:szCs w:val="28"/>
          <w:lang w:val="de-DE"/>
        </w:rPr>
        <w:t>DRAFT</w:t>
      </w:r>
      <w:r w:rsidR="009F5423" w:rsidRPr="0027657B">
        <w:rPr>
          <w:rFonts w:ascii="Arial" w:hAnsi="Arial" w:cs="Arial"/>
          <w:b/>
          <w:sz w:val="28"/>
          <w:szCs w:val="28"/>
          <w:lang w:val="de-DE"/>
        </w:rPr>
        <w:tab/>
      </w:r>
      <w:r w:rsidR="004D2D88" w:rsidRPr="0027657B">
        <w:rPr>
          <w:rFonts w:ascii="Arial" w:hAnsi="Arial" w:cs="Arial"/>
          <w:b/>
          <w:iCs/>
          <w:sz w:val="28"/>
          <w:szCs w:val="28"/>
          <w:lang w:val="de-DE"/>
        </w:rPr>
        <w:t>R3-190</w:t>
      </w:r>
      <w:r w:rsidR="00831445" w:rsidRPr="0027657B">
        <w:rPr>
          <w:rFonts w:ascii="Arial" w:hAnsi="Arial" w:cs="Arial"/>
          <w:b/>
          <w:iCs/>
          <w:sz w:val="28"/>
          <w:szCs w:val="28"/>
          <w:lang w:val="de-DE"/>
        </w:rPr>
        <w:t>947</w:t>
      </w:r>
    </w:p>
    <w:p w14:paraId="58926869" w14:textId="6364FCCD" w:rsidR="007736F7" w:rsidRDefault="0034769F">
      <w:pPr>
        <w:pStyle w:val="CRCoverPage"/>
        <w:tabs>
          <w:tab w:val="left" w:pos="1980"/>
        </w:tabs>
        <w:jc w:val="both"/>
        <w:rPr>
          <w:rFonts w:cs="Arial"/>
          <w:b/>
          <w:bCs/>
          <w:sz w:val="28"/>
          <w:szCs w:val="28"/>
          <w:lang w:val="en-US"/>
        </w:rPr>
      </w:pPr>
      <w:r>
        <w:rPr>
          <w:rFonts w:eastAsia="Batang" w:cs="Arial"/>
          <w:b/>
          <w:color w:val="000000"/>
          <w:sz w:val="28"/>
          <w:szCs w:val="28"/>
          <w:lang w:eastAsia="ja-JP"/>
        </w:rPr>
        <w:t>Athens</w:t>
      </w:r>
      <w:r w:rsidR="00F91022">
        <w:rPr>
          <w:rFonts w:eastAsia="Batang" w:cs="Arial"/>
          <w:b/>
          <w:color w:val="000000"/>
          <w:sz w:val="28"/>
          <w:szCs w:val="28"/>
          <w:lang w:eastAsia="ja-JP"/>
        </w:rPr>
        <w:t xml:space="preserve">, </w:t>
      </w:r>
      <w:r>
        <w:rPr>
          <w:rFonts w:eastAsia="Batang" w:cs="Arial"/>
          <w:b/>
          <w:color w:val="000000"/>
          <w:sz w:val="28"/>
          <w:szCs w:val="28"/>
          <w:lang w:eastAsia="ja-JP"/>
        </w:rPr>
        <w:t>Greece</w:t>
      </w:r>
      <w:r w:rsidR="009F5423">
        <w:rPr>
          <w:rFonts w:eastAsia="Batang" w:cs="Arial"/>
          <w:b/>
          <w:color w:val="000000"/>
          <w:sz w:val="28"/>
          <w:szCs w:val="28"/>
          <w:lang w:eastAsia="ja-JP"/>
        </w:rPr>
        <w:t xml:space="preserve"> 2</w:t>
      </w:r>
      <w:r w:rsidR="00F91022">
        <w:rPr>
          <w:rFonts w:eastAsia="Batang" w:cs="Arial"/>
          <w:b/>
          <w:color w:val="000000"/>
          <w:sz w:val="28"/>
          <w:szCs w:val="28"/>
          <w:lang w:eastAsia="ja-JP"/>
        </w:rPr>
        <w:t>5</w:t>
      </w:r>
      <w:r w:rsidR="009F5423">
        <w:rPr>
          <w:rFonts w:eastAsia="Batang" w:cs="Arial"/>
          <w:b/>
          <w:color w:val="000000"/>
          <w:sz w:val="28"/>
          <w:szCs w:val="28"/>
          <w:lang w:eastAsia="ja-JP"/>
        </w:rPr>
        <w:t xml:space="preserve"> </w:t>
      </w:r>
      <w:r>
        <w:rPr>
          <w:rFonts w:eastAsia="Batang" w:cs="Arial"/>
          <w:b/>
          <w:color w:val="000000"/>
          <w:sz w:val="28"/>
          <w:szCs w:val="28"/>
          <w:lang w:eastAsia="ja-JP"/>
        </w:rPr>
        <w:t>February – 1 March 2019</w:t>
      </w:r>
    </w:p>
    <w:p w14:paraId="03BC5DC3" w14:textId="237FCE7B"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9A524B">
        <w:rPr>
          <w:rFonts w:ascii="Times New Roman" w:hAnsi="Times New Roman"/>
          <w:b/>
          <w:bCs/>
          <w:sz w:val="24"/>
          <w:lang w:val="en-US"/>
        </w:rPr>
        <w:t>9.3.3</w:t>
      </w:r>
    </w:p>
    <w:p w14:paraId="6C65BE9B" w14:textId="5361B059"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14:paraId="164E2610" w14:textId="29C5D3E5" w:rsidR="007736F7" w:rsidRDefault="009F5423">
      <w:pPr>
        <w:ind w:left="1985" w:hanging="1985"/>
        <w:rPr>
          <w:b/>
          <w:bCs/>
          <w:lang w:val="en-US"/>
        </w:rPr>
      </w:pPr>
      <w:r>
        <w:rPr>
          <w:b/>
          <w:bCs/>
          <w:sz w:val="24"/>
          <w:lang w:val="en-US"/>
        </w:rPr>
        <w:t>Title:</w:t>
      </w:r>
      <w:r>
        <w:rPr>
          <w:b/>
          <w:bCs/>
          <w:sz w:val="24"/>
          <w:lang w:val="en-US"/>
        </w:rPr>
        <w:tab/>
      </w:r>
      <w:r w:rsidR="00831445">
        <w:rPr>
          <w:b/>
          <w:bCs/>
          <w:sz w:val="24"/>
          <w:lang w:val="en-US"/>
        </w:rPr>
        <w:t>Summary of offline discussions on network sharing</w:t>
      </w:r>
      <w:r>
        <w:rPr>
          <w:b/>
          <w:bCs/>
          <w:sz w:val="24"/>
          <w:lang w:val="en-US"/>
        </w:rPr>
        <w:t xml:space="preserve"> </w:t>
      </w:r>
    </w:p>
    <w:p w14:paraId="4F170110" w14:textId="77777777" w:rsidR="007736F7" w:rsidRPr="002A625D" w:rsidRDefault="009F5423" w:rsidP="002A625D">
      <w:pPr>
        <w:pStyle w:val="Heading1"/>
      </w:pPr>
      <w:r w:rsidRPr="002A625D">
        <w:t>Introduction</w:t>
      </w:r>
    </w:p>
    <w:p w14:paraId="40FB48B9" w14:textId="77777777" w:rsidR="00831445" w:rsidRDefault="00831445" w:rsidP="00831445">
      <w:pPr>
        <w:widowControl w:val="0"/>
        <w:spacing w:after="0"/>
        <w:ind w:left="144" w:hanging="144"/>
        <w:rPr>
          <w:rFonts w:cs="Calibri"/>
          <w:b/>
          <w:color w:val="FF00FF"/>
          <w:sz w:val="18"/>
          <w:szCs w:val="24"/>
        </w:rPr>
      </w:pPr>
      <w:bookmarkStart w:id="0" w:name="_Hlk2038154"/>
      <w:r>
        <w:rPr>
          <w:rFonts w:cs="Calibri"/>
          <w:b/>
          <w:color w:val="FF00FF"/>
          <w:sz w:val="18"/>
          <w:szCs w:val="24"/>
        </w:rPr>
        <w:t>CB: # 23_NW_sharing</w:t>
      </w:r>
    </w:p>
    <w:p w14:paraId="0321C52A" w14:textId="77777777" w:rsidR="00831445" w:rsidRDefault="00831445" w:rsidP="00831445">
      <w:pPr>
        <w:widowControl w:val="0"/>
        <w:spacing w:after="0"/>
        <w:ind w:left="144" w:hanging="144"/>
        <w:rPr>
          <w:rFonts w:cs="Calibri"/>
          <w:b/>
          <w:color w:val="FF00FF"/>
          <w:sz w:val="18"/>
          <w:szCs w:val="24"/>
        </w:rPr>
      </w:pPr>
      <w:r>
        <w:rPr>
          <w:rFonts w:cs="Calibri"/>
          <w:b/>
          <w:color w:val="FF00FF"/>
          <w:sz w:val="18"/>
          <w:szCs w:val="24"/>
        </w:rPr>
        <w:t xml:space="preserve">- “contingency analysis”: without this feature, what </w:t>
      </w:r>
      <w:proofErr w:type="spellStart"/>
      <w:r>
        <w:rPr>
          <w:rFonts w:cs="Calibri"/>
          <w:b/>
          <w:color w:val="FF00FF"/>
          <w:sz w:val="18"/>
          <w:szCs w:val="24"/>
        </w:rPr>
        <w:t>nw</w:t>
      </w:r>
      <w:proofErr w:type="spellEnd"/>
      <w:r>
        <w:rPr>
          <w:rFonts w:cs="Calibri"/>
          <w:b/>
          <w:color w:val="FF00FF"/>
          <w:sz w:val="18"/>
          <w:szCs w:val="24"/>
        </w:rPr>
        <w:t xml:space="preserve"> sharing support do we have in Rel-15?</w:t>
      </w:r>
    </w:p>
    <w:p w14:paraId="41959B93" w14:textId="77777777" w:rsidR="00831445" w:rsidRDefault="00831445" w:rsidP="00831445">
      <w:pPr>
        <w:widowControl w:val="0"/>
        <w:spacing w:after="0"/>
        <w:ind w:left="144" w:hanging="144"/>
        <w:rPr>
          <w:rFonts w:cs="Calibri"/>
          <w:b/>
          <w:color w:val="FF00FF"/>
          <w:sz w:val="18"/>
          <w:szCs w:val="24"/>
        </w:rPr>
      </w:pPr>
      <w:r>
        <w:rPr>
          <w:rFonts w:cs="Calibri"/>
          <w:b/>
          <w:color w:val="FF00FF"/>
          <w:sz w:val="18"/>
          <w:szCs w:val="24"/>
        </w:rPr>
        <w:t xml:space="preserve">- confirm that we have parity with LTE </w:t>
      </w:r>
      <w:proofErr w:type="spellStart"/>
      <w:r>
        <w:rPr>
          <w:rFonts w:cs="Calibri"/>
          <w:b/>
          <w:color w:val="FF00FF"/>
          <w:sz w:val="18"/>
          <w:szCs w:val="24"/>
        </w:rPr>
        <w:t>w.r.t.</w:t>
      </w:r>
      <w:proofErr w:type="spellEnd"/>
      <w:r>
        <w:rPr>
          <w:rFonts w:cs="Calibri"/>
          <w:b/>
          <w:color w:val="FF00FF"/>
          <w:sz w:val="18"/>
          <w:szCs w:val="24"/>
        </w:rPr>
        <w:t xml:space="preserve"> </w:t>
      </w:r>
      <w:proofErr w:type="spellStart"/>
      <w:r>
        <w:rPr>
          <w:rFonts w:cs="Calibri"/>
          <w:b/>
          <w:color w:val="FF00FF"/>
          <w:sz w:val="18"/>
          <w:szCs w:val="24"/>
        </w:rPr>
        <w:t>nw</w:t>
      </w:r>
      <w:proofErr w:type="spellEnd"/>
      <w:r>
        <w:rPr>
          <w:rFonts w:cs="Calibri"/>
          <w:b/>
          <w:color w:val="FF00FF"/>
          <w:sz w:val="18"/>
          <w:szCs w:val="24"/>
        </w:rPr>
        <w:t xml:space="preserve"> sharing? (e.g. considering gNB-CU/DU split)</w:t>
      </w:r>
    </w:p>
    <w:p w14:paraId="237E1C8A" w14:textId="77777777" w:rsidR="00831445" w:rsidRDefault="00831445" w:rsidP="00831445">
      <w:pPr>
        <w:widowControl w:val="0"/>
        <w:spacing w:after="0"/>
        <w:ind w:left="144" w:hanging="144"/>
        <w:rPr>
          <w:rFonts w:cs="Calibri"/>
          <w:b/>
          <w:color w:val="FF00FF"/>
          <w:sz w:val="18"/>
          <w:szCs w:val="24"/>
        </w:rPr>
      </w:pPr>
      <w:r>
        <w:rPr>
          <w:rFonts w:cs="Calibri"/>
          <w:b/>
          <w:color w:val="FF00FF"/>
          <w:sz w:val="18"/>
          <w:szCs w:val="24"/>
        </w:rPr>
        <w:t>- check with operators</w:t>
      </w:r>
    </w:p>
    <w:p w14:paraId="3819A536" w14:textId="77777777" w:rsidR="00831445" w:rsidRDefault="00831445" w:rsidP="00831445">
      <w:pPr>
        <w:widowControl w:val="0"/>
        <w:spacing w:after="0"/>
        <w:ind w:left="144" w:hanging="144"/>
        <w:rPr>
          <w:rFonts w:cs="Calibri"/>
          <w:b/>
          <w:color w:val="FF00FF"/>
          <w:sz w:val="18"/>
          <w:szCs w:val="24"/>
        </w:rPr>
      </w:pPr>
      <w:r>
        <w:rPr>
          <w:rFonts w:cs="Calibri"/>
          <w:b/>
          <w:color w:val="FF00FF"/>
          <w:sz w:val="18"/>
          <w:szCs w:val="24"/>
        </w:rPr>
        <w:t>- what don’t we have in Rel-15?</w:t>
      </w:r>
    </w:p>
    <w:p w14:paraId="4AE3E29B" w14:textId="77777777" w:rsidR="00831445" w:rsidRDefault="00831445" w:rsidP="00831445">
      <w:pPr>
        <w:widowControl w:val="0"/>
        <w:spacing w:after="0"/>
        <w:ind w:left="144" w:hanging="144"/>
        <w:rPr>
          <w:rFonts w:cs="Calibri"/>
          <w:b/>
          <w:color w:val="FF00FF"/>
          <w:sz w:val="18"/>
          <w:szCs w:val="24"/>
        </w:rPr>
      </w:pPr>
      <w:r>
        <w:rPr>
          <w:rFonts w:cs="Calibri"/>
          <w:b/>
          <w:color w:val="FF00FF"/>
          <w:sz w:val="18"/>
          <w:szCs w:val="24"/>
        </w:rPr>
        <w:t>- agreeable WF?</w:t>
      </w:r>
    </w:p>
    <w:bookmarkEnd w:id="0"/>
    <w:p w14:paraId="4090A711" w14:textId="6184DC10" w:rsidR="007736F7" w:rsidRDefault="00B73F75">
      <w:pPr>
        <w:jc w:val="left"/>
        <w:rPr>
          <w:lang w:val="en-US"/>
        </w:rPr>
      </w:pPr>
      <w:r>
        <w:rPr>
          <w:lang w:val="en-US"/>
        </w:rPr>
        <w:t xml:space="preserve"> </w:t>
      </w:r>
    </w:p>
    <w:p w14:paraId="0E6D3B1D" w14:textId="0F52DAFA" w:rsidR="002A625D" w:rsidRDefault="00831445" w:rsidP="002A625D">
      <w:pPr>
        <w:pStyle w:val="Heading1"/>
      </w:pPr>
      <w:r>
        <w:t>What sharing support do we have in release-15?</w:t>
      </w:r>
    </w:p>
    <w:p w14:paraId="78A76F79" w14:textId="089E9C36" w:rsidR="00831445" w:rsidRPr="002C037B" w:rsidRDefault="00342FD0" w:rsidP="00831445">
      <w:pPr>
        <w:rPr>
          <w:b/>
        </w:rPr>
      </w:pPr>
      <w:r w:rsidRPr="002C037B">
        <w:rPr>
          <w:b/>
        </w:rPr>
        <w:t>What, if anything is needed to have parity with LTE</w:t>
      </w:r>
      <w:r w:rsidR="001A2F96" w:rsidRPr="002C037B">
        <w:rPr>
          <w:b/>
        </w:rPr>
        <w:t xml:space="preserve"> for RAN sharing? </w:t>
      </w:r>
      <w:proofErr w:type="gramStart"/>
      <w:r w:rsidR="001A2F96" w:rsidRPr="002C037B">
        <w:rPr>
          <w:b/>
        </w:rPr>
        <w:t>In particular are</w:t>
      </w:r>
      <w:proofErr w:type="gramEnd"/>
      <w:r w:rsidR="001A2F96" w:rsidRPr="002C037B">
        <w:rPr>
          <w:b/>
        </w:rPr>
        <w:t xml:space="preserve"> there any issues with the gNB-CU/DU split?</w:t>
      </w:r>
    </w:p>
    <w:p w14:paraId="7AEA1E8D" w14:textId="69D31E87" w:rsidR="001A2163" w:rsidRDefault="002C037B" w:rsidP="00831445">
      <w:r>
        <w:t xml:space="preserve">During the offline discussion, there was general agreement that </w:t>
      </w:r>
      <w:r w:rsidR="001A2163">
        <w:t>there is partial support for both LTE level sharing (single cell id, single TAC and multiple PLMN) and for Multi cell id, TAC and PLMN). Signalling support for these two options varies</w:t>
      </w:r>
      <w:r w:rsidR="00B24558">
        <w:t xml:space="preserve"> on the interfaces so implementations over those interfaces would be less efficient</w:t>
      </w:r>
      <w:r w:rsidR="00254152">
        <w:t>/rely on implementation</w:t>
      </w:r>
      <w:r w:rsidR="00B24558">
        <w:t xml:space="preserve">. </w:t>
      </w:r>
    </w:p>
    <w:p w14:paraId="06DDE3B6" w14:textId="7A352E86" w:rsidR="00B24558" w:rsidRDefault="00B24558" w:rsidP="00831445">
      <w:r>
        <w:t>Aggregated gNB</w:t>
      </w:r>
      <w:r w:rsidR="002F127A">
        <w:t>/ng-eNB</w:t>
      </w:r>
      <w:r>
        <w:t xml:space="preserve"> - support for both single cell id/TAC and for multiple cell-id/TAC</w:t>
      </w:r>
      <w:r w:rsidR="00604AE7">
        <w:t xml:space="preserve">, for eNBs single cell id/TAC </w:t>
      </w:r>
      <w:r w:rsidR="002548E0">
        <w:t xml:space="preserve">is only </w:t>
      </w:r>
      <w:r w:rsidR="00604AE7">
        <w:t>supported</w:t>
      </w:r>
      <w:r w:rsidR="002548E0">
        <w:t xml:space="preserve"> </w:t>
      </w:r>
      <w:proofErr w:type="gramStart"/>
      <w:r w:rsidR="002548E0">
        <w:t>with the exception of</w:t>
      </w:r>
      <w:proofErr w:type="gramEnd"/>
      <w:r w:rsidR="002548E0">
        <w:t xml:space="preserve"> </w:t>
      </w:r>
      <w:r w:rsidR="00604AE7">
        <w:t>deployments with only Release-14 and later release UEs which can support both single cell id/TAC and multi-cell id/TACs</w:t>
      </w:r>
    </w:p>
    <w:p w14:paraId="27B183B1" w14:textId="7D0784DB" w:rsidR="00B24558" w:rsidRDefault="00B24558" w:rsidP="00831445">
      <w:r>
        <w:t xml:space="preserve">Non-aggregated gNB –support on F1 for single cell-id/TAC </w:t>
      </w:r>
      <w:r w:rsidR="00823955">
        <w:t>only</w:t>
      </w:r>
    </w:p>
    <w:p w14:paraId="783B8066" w14:textId="19833260" w:rsidR="001A2F96" w:rsidRDefault="00B24558" w:rsidP="00831445">
      <w:pPr>
        <w:rPr>
          <w:lang w:val="en-US"/>
        </w:rPr>
      </w:pPr>
      <w:r>
        <w:rPr>
          <w:lang w:val="en-US"/>
        </w:rPr>
        <w:t>Xn</w:t>
      </w:r>
      <w:r w:rsidR="009E6515">
        <w:rPr>
          <w:lang w:val="en-US"/>
        </w:rPr>
        <w:t>/X2</w:t>
      </w:r>
      <w:r>
        <w:rPr>
          <w:lang w:val="en-US"/>
        </w:rPr>
        <w:t xml:space="preserve"> Interface – support for single cell-id/TAC only</w:t>
      </w:r>
    </w:p>
    <w:p w14:paraId="593053AF" w14:textId="2480BB46" w:rsidR="00AB62E2" w:rsidRPr="00F25ED3" w:rsidRDefault="00AB62E2" w:rsidP="00831445">
      <w:pPr>
        <w:rPr>
          <w:lang w:val="en-US"/>
        </w:rPr>
      </w:pPr>
      <w:r w:rsidRPr="00F25ED3">
        <w:rPr>
          <w:rFonts w:eastAsia="Times New Roman"/>
          <w:u w:val="single"/>
        </w:rPr>
        <w:t xml:space="preserve">Note: Current </w:t>
      </w:r>
      <w:r w:rsidR="00823955" w:rsidRPr="00F25ED3">
        <w:rPr>
          <w:rFonts w:eastAsia="Times New Roman"/>
          <w:u w:val="single"/>
        </w:rPr>
        <w:t>network signalling</w:t>
      </w:r>
      <w:r w:rsidRPr="00F25ED3">
        <w:rPr>
          <w:rFonts w:eastAsia="Times New Roman"/>
          <w:u w:val="single"/>
        </w:rPr>
        <w:t xml:space="preserve"> requires homogeneous NR SA and EN-DC support and same EPS TA for all PLMNs in collocated </w:t>
      </w:r>
      <w:proofErr w:type="spellStart"/>
      <w:r w:rsidRPr="00F25ED3">
        <w:rPr>
          <w:rFonts w:eastAsia="Times New Roman"/>
          <w:u w:val="single"/>
        </w:rPr>
        <w:t>en-gNBs</w:t>
      </w:r>
      <w:proofErr w:type="spellEnd"/>
      <w:r w:rsidRPr="00F25ED3">
        <w:rPr>
          <w:rFonts w:eastAsia="Times New Roman"/>
          <w:u w:val="single"/>
        </w:rPr>
        <w:t>/</w:t>
      </w:r>
      <w:proofErr w:type="spellStart"/>
      <w:r w:rsidRPr="00F25ED3">
        <w:rPr>
          <w:rFonts w:eastAsia="Times New Roman"/>
          <w:u w:val="single"/>
        </w:rPr>
        <w:t>gNBs</w:t>
      </w:r>
      <w:proofErr w:type="spellEnd"/>
    </w:p>
    <w:p w14:paraId="28F27F52" w14:textId="7A6B6E58" w:rsidR="001A2F96" w:rsidRDefault="001A2F96" w:rsidP="001A2F96">
      <w:pPr>
        <w:pStyle w:val="Heading1"/>
      </w:pPr>
      <w:r>
        <w:t>Operator input – what are missing in release-15?</w:t>
      </w:r>
    </w:p>
    <w:p w14:paraId="06750D00" w14:textId="4EE337AC" w:rsidR="001A2F96" w:rsidRDefault="001A2F96" w:rsidP="001A2F96">
      <w:r>
        <w:t xml:space="preserve">The operators were silent during the online discussion, what is their viewpoint on what is missing in release-15. </w:t>
      </w:r>
    </w:p>
    <w:p w14:paraId="7DDBA5CF" w14:textId="6CB4E8E3" w:rsidR="002C037B" w:rsidRDefault="002C037B" w:rsidP="001A2F96">
      <w:r w:rsidRPr="008227DE">
        <w:rPr>
          <w:b/>
        </w:rPr>
        <w:t xml:space="preserve">Operators please </w:t>
      </w:r>
      <w:r w:rsidR="008227DE" w:rsidRPr="008227DE">
        <w:rPr>
          <w:b/>
        </w:rPr>
        <w:t>indicate your views of what is necessary in Release-15 outside the current sharing support documented above</w:t>
      </w:r>
      <w:r w:rsidR="008227DE">
        <w:t>.</w:t>
      </w:r>
    </w:p>
    <w:tbl>
      <w:tblPr>
        <w:tblStyle w:val="TableGrid"/>
        <w:tblW w:w="0" w:type="auto"/>
        <w:tblLook w:val="04A0" w:firstRow="1" w:lastRow="0" w:firstColumn="1" w:lastColumn="0" w:noHBand="0" w:noVBand="1"/>
      </w:tblPr>
      <w:tblGrid>
        <w:gridCol w:w="2965"/>
        <w:gridCol w:w="6385"/>
      </w:tblGrid>
      <w:tr w:rsidR="002C037B" w14:paraId="0688398B" w14:textId="77777777" w:rsidTr="002C037B">
        <w:tc>
          <w:tcPr>
            <w:tcW w:w="2965" w:type="dxa"/>
          </w:tcPr>
          <w:p w14:paraId="289579D1" w14:textId="541FAAAC" w:rsidR="002C037B" w:rsidRPr="008227DE" w:rsidRDefault="008227DE" w:rsidP="001A2F96">
            <w:pPr>
              <w:rPr>
                <w:b/>
              </w:rPr>
            </w:pPr>
            <w:r w:rsidRPr="008227DE">
              <w:rPr>
                <w:b/>
              </w:rPr>
              <w:t>Company</w:t>
            </w:r>
          </w:p>
        </w:tc>
        <w:tc>
          <w:tcPr>
            <w:tcW w:w="6385" w:type="dxa"/>
          </w:tcPr>
          <w:p w14:paraId="096F1BC0" w14:textId="0ED8F0AA" w:rsidR="002C037B" w:rsidRPr="008227DE" w:rsidRDefault="008227DE" w:rsidP="001A2F96">
            <w:pPr>
              <w:rPr>
                <w:b/>
              </w:rPr>
            </w:pPr>
            <w:r w:rsidRPr="008227DE">
              <w:rPr>
                <w:b/>
              </w:rPr>
              <w:t>Input</w:t>
            </w:r>
          </w:p>
        </w:tc>
      </w:tr>
      <w:tr w:rsidR="002C037B" w14:paraId="28A48CFE" w14:textId="77777777" w:rsidTr="002C037B">
        <w:tc>
          <w:tcPr>
            <w:tcW w:w="2965" w:type="dxa"/>
          </w:tcPr>
          <w:p w14:paraId="33144417" w14:textId="509621DC" w:rsidR="002C037B" w:rsidRDefault="0027657B" w:rsidP="001A2F96">
            <w:r>
              <w:t>Vodafone</w:t>
            </w:r>
          </w:p>
        </w:tc>
        <w:tc>
          <w:tcPr>
            <w:tcW w:w="6385" w:type="dxa"/>
          </w:tcPr>
          <w:p w14:paraId="2B8501D8" w14:textId="19688457" w:rsidR="002C037B" w:rsidRDefault="0027657B" w:rsidP="0027657B">
            <w:r>
              <w:rPr>
                <w:color w:val="1F497D"/>
              </w:rPr>
              <w:t xml:space="preserve">For both MORAN and MOCN it is necessary that the eNB can support the case where the sharing operators get different NR spectrum allocations (e.g. operator A gets some 3.5 GHz for NR and operator B does not; operator B gets spectrum for NR in 2.6 GHz, operator A does not). For this scenario, both EN-DC and option 1/3 to/from option 2 </w:t>
            </w:r>
            <w:r>
              <w:rPr>
                <w:color w:val="1F497D"/>
              </w:rPr>
              <w:lastRenderedPageBreak/>
              <w:t>handovers need to be supported.</w:t>
            </w:r>
          </w:p>
        </w:tc>
      </w:tr>
      <w:tr w:rsidR="002C037B" w14:paraId="0C1017A4" w14:textId="77777777" w:rsidTr="002C037B">
        <w:tc>
          <w:tcPr>
            <w:tcW w:w="2965" w:type="dxa"/>
          </w:tcPr>
          <w:p w14:paraId="4BC1B7BA" w14:textId="2D4B6005" w:rsidR="002C037B" w:rsidRPr="0059516D" w:rsidRDefault="0059516D" w:rsidP="001A2F96">
            <w:pPr>
              <w:rPr>
                <w:rFonts w:ascii="Calibri" w:hAnsi="Calibri" w:cs="Calibri"/>
              </w:rPr>
            </w:pPr>
            <w:r w:rsidRPr="0059516D">
              <w:rPr>
                <w:rFonts w:ascii="Calibri" w:hAnsi="Calibri" w:cs="Calibri"/>
              </w:rPr>
              <w:lastRenderedPageBreak/>
              <w:t>KDDI</w:t>
            </w:r>
          </w:p>
        </w:tc>
        <w:tc>
          <w:tcPr>
            <w:tcW w:w="6385" w:type="dxa"/>
          </w:tcPr>
          <w:p w14:paraId="61B23109" w14:textId="7E91FC4B" w:rsidR="002C037B" w:rsidRPr="0059516D" w:rsidRDefault="0059516D" w:rsidP="001A2F96">
            <w:pPr>
              <w:rPr>
                <w:rFonts w:ascii="Calibri" w:hAnsi="Calibri" w:cs="Calibri"/>
              </w:rPr>
            </w:pPr>
            <w:r w:rsidRPr="0059516D">
              <w:rPr>
                <w:rFonts w:ascii="Calibri" w:hAnsi="Calibri" w:cs="Calibri"/>
              </w:rPr>
              <w:t>Our preference is to have at least “common interface” in Rel-15 specification, and we can accept to postpone “Per PLMN interface” to Rel-15.</w:t>
            </w:r>
          </w:p>
        </w:tc>
      </w:tr>
      <w:tr w:rsidR="00F23000" w14:paraId="05417BD2" w14:textId="77777777" w:rsidTr="002C037B">
        <w:tc>
          <w:tcPr>
            <w:tcW w:w="2965" w:type="dxa"/>
          </w:tcPr>
          <w:p w14:paraId="60679B3C" w14:textId="7D6CC1CB" w:rsidR="00F23000" w:rsidRPr="0059516D" w:rsidRDefault="00F23000" w:rsidP="00F23000">
            <w:pPr>
              <w:rPr>
                <w:rFonts w:ascii="Calibri" w:hAnsi="Calibri" w:cs="Calibri"/>
              </w:rPr>
            </w:pPr>
            <w:r>
              <w:t>Deutsche Telekom</w:t>
            </w:r>
          </w:p>
        </w:tc>
        <w:tc>
          <w:tcPr>
            <w:tcW w:w="6385" w:type="dxa"/>
          </w:tcPr>
          <w:p w14:paraId="0A9ADBFF" w14:textId="52DBB41A" w:rsidR="00F23000" w:rsidRDefault="00F23000" w:rsidP="00F23000">
            <w:r>
              <w:t xml:space="preserve">For NW sharing based on Rel-15 with aggregated </w:t>
            </w:r>
            <w:proofErr w:type="spellStart"/>
            <w:r>
              <w:t>gNBs</w:t>
            </w:r>
            <w:proofErr w:type="spellEnd"/>
            <w:r>
              <w:t xml:space="preserve"> </w:t>
            </w:r>
            <w:r w:rsidR="00767809">
              <w:t xml:space="preserve">we agree that </w:t>
            </w:r>
            <w:r>
              <w:t>there is a parity with LTE, i.e., such so</w:t>
            </w:r>
            <w:r w:rsidR="00784BE7">
              <w:t xml:space="preserve">lution is initially appropriate, but it </w:t>
            </w:r>
            <w:r>
              <w:t>should be clearly sta</w:t>
            </w:r>
            <w:r w:rsidR="00515BE7">
              <w:t>ted which features</w:t>
            </w:r>
            <w:r>
              <w:t xml:space="preserve"> </w:t>
            </w:r>
            <w:r w:rsidR="00515BE7">
              <w:t>are</w:t>
            </w:r>
            <w:r>
              <w:t xml:space="preserve"> supported with such approach</w:t>
            </w:r>
            <w:r w:rsidR="00784BE7">
              <w:t xml:space="preserve"> (St2?)</w:t>
            </w:r>
            <w:r w:rsidR="00767809">
              <w:t xml:space="preserve">. If E-UTRAN eNBs are shared by operators, this should be extendable in the case of EN-DC also to the </w:t>
            </w:r>
            <w:proofErr w:type="spellStart"/>
            <w:r w:rsidR="00767809">
              <w:t>en-gNBs</w:t>
            </w:r>
            <w:proofErr w:type="spellEnd"/>
            <w:r w:rsidR="00767809">
              <w:t xml:space="preserve"> (with the possibility to decide which op</w:t>
            </w:r>
            <w:r w:rsidR="006926FF">
              <w:t xml:space="preserve">erator </w:t>
            </w:r>
            <w:proofErr w:type="gramStart"/>
            <w:r w:rsidR="006926FF">
              <w:t>is allowed to</w:t>
            </w:r>
            <w:proofErr w:type="gramEnd"/>
            <w:r w:rsidR="006926FF">
              <w:t xml:space="preserve"> use EN-DC).</w:t>
            </w:r>
          </w:p>
          <w:p w14:paraId="01BB3088" w14:textId="73148B7F" w:rsidR="00F23000" w:rsidRPr="00F23000" w:rsidRDefault="00844249" w:rsidP="00844249">
            <w:r>
              <w:t>If w</w:t>
            </w:r>
            <w:r w:rsidR="00F23000">
              <w:t xml:space="preserve">ork on optimizations covering </w:t>
            </w:r>
            <w:r w:rsidR="00F00B2A">
              <w:t xml:space="preserve">also </w:t>
            </w:r>
            <w:r w:rsidR="00F23000">
              <w:t xml:space="preserve">the CU-DU split architecture </w:t>
            </w:r>
            <w:r>
              <w:t>could not b</w:t>
            </w:r>
            <w:r w:rsidR="00F23000">
              <w:t xml:space="preserve">e performed </w:t>
            </w:r>
            <w:r>
              <w:t xml:space="preserve">within Rel-15 due to lack of time, it should start </w:t>
            </w:r>
            <w:r w:rsidR="00CF52CA">
              <w:t xml:space="preserve">as early as possible </w:t>
            </w:r>
            <w:r w:rsidR="006B47C8">
              <w:t>with</w:t>
            </w:r>
            <w:r w:rsidR="00F23000">
              <w:t>in Rel-</w:t>
            </w:r>
            <w:proofErr w:type="gramStart"/>
            <w:r w:rsidR="00F23000">
              <w:t xml:space="preserve">16 </w:t>
            </w:r>
            <w:r w:rsidR="00CF52CA">
              <w:t>time</w:t>
            </w:r>
            <w:proofErr w:type="gramEnd"/>
            <w:r w:rsidR="00CF52CA">
              <w:t xml:space="preserve"> frame </w:t>
            </w:r>
            <w:r>
              <w:t>based</w:t>
            </w:r>
            <w:r w:rsidR="00F23000">
              <w:t xml:space="preserve"> on assessment of already available </w:t>
            </w:r>
            <w:r>
              <w:t xml:space="preserve">RAN3 </w:t>
            </w:r>
            <w:r w:rsidR="00F23000">
              <w:t>inputs for</w:t>
            </w:r>
            <w:r w:rsidR="00CF52CA">
              <w:t xml:space="preserve"> common and per-PLMN interfaces.</w:t>
            </w:r>
          </w:p>
        </w:tc>
      </w:tr>
      <w:tr w:rsidR="002C037B" w14:paraId="32EB97C4" w14:textId="77777777" w:rsidTr="002C037B">
        <w:tc>
          <w:tcPr>
            <w:tcW w:w="2965" w:type="dxa"/>
          </w:tcPr>
          <w:p w14:paraId="3C37D36D" w14:textId="7E2C3AEB" w:rsidR="002C037B" w:rsidRDefault="00013034" w:rsidP="001A2F96">
            <w:r>
              <w:t>T-Mobile USA</w:t>
            </w:r>
          </w:p>
        </w:tc>
        <w:tc>
          <w:tcPr>
            <w:tcW w:w="6385" w:type="dxa"/>
          </w:tcPr>
          <w:p w14:paraId="24575D5A" w14:textId="460269FB" w:rsidR="00013034" w:rsidRDefault="00013034" w:rsidP="00013034">
            <w:r>
              <w:t xml:space="preserve">For </w:t>
            </w:r>
            <w:proofErr w:type="spellStart"/>
            <w:r>
              <w:t>Rel</w:t>
            </w:r>
            <w:proofErr w:type="spellEnd"/>
            <w:r>
              <w:t xml:space="preserve"> 15, the parity to LTE for aggregated gNB shall be supported for ENDC and for SA operations. The following combined deployment scenarios shall be supported in </w:t>
            </w:r>
            <w:proofErr w:type="spellStart"/>
            <w:r>
              <w:t>Rel</w:t>
            </w:r>
            <w:proofErr w:type="spellEnd"/>
            <w:r>
              <w:t xml:space="preserve"> 15:</w:t>
            </w:r>
          </w:p>
          <w:p w14:paraId="65A8A5FC" w14:textId="47B70E8C" w:rsidR="00013034" w:rsidRPr="00013034" w:rsidRDefault="00013034" w:rsidP="00013034">
            <w:r w:rsidRPr="00013034">
              <w:t>•</w:t>
            </w:r>
            <w:r w:rsidRPr="00013034">
              <w:tab/>
              <w:t xml:space="preserve">Same gNB/cell will support both SA and ENDC concurrently, </w:t>
            </w:r>
            <w:proofErr w:type="spellStart"/>
            <w:r w:rsidRPr="00013034">
              <w:t>i.e</w:t>
            </w:r>
            <w:proofErr w:type="spellEnd"/>
            <w:r w:rsidRPr="00013034">
              <w:t xml:space="preserve"> supporting option 2&amp;3 simultaneously.</w:t>
            </w:r>
          </w:p>
          <w:p w14:paraId="1A9C9BBF" w14:textId="77777777" w:rsidR="00013034" w:rsidRDefault="00013034" w:rsidP="00013034">
            <w:r>
              <w:t>•</w:t>
            </w:r>
            <w:r>
              <w:tab/>
              <w:t>For NR SA and ENDC operation, same gNB/cell broadcast multiple PLMN ids with associated cell ids and 5GS TACs.</w:t>
            </w:r>
          </w:p>
          <w:p w14:paraId="050FB1C0" w14:textId="77777777" w:rsidR="00013034" w:rsidRDefault="00013034" w:rsidP="00013034">
            <w:r>
              <w:t>•</w:t>
            </w:r>
            <w:r>
              <w:tab/>
              <w:t>For legacy LTE and ENDC operation, LTE anchor cell broadcast multiple PLMN ids associated with a single cell id and single EPS TAC.</w:t>
            </w:r>
          </w:p>
          <w:p w14:paraId="44B6C68B" w14:textId="613363D2" w:rsidR="00013034" w:rsidRDefault="00013034" w:rsidP="00013034">
            <w:r>
              <w:t>•</w:t>
            </w:r>
            <w:r>
              <w:tab/>
              <w:t>The same logical CU should be supporting multiple PLMNs with associated cell ids and 5GS TACs.</w:t>
            </w:r>
          </w:p>
        </w:tc>
      </w:tr>
      <w:tr w:rsidR="006C5A89" w14:paraId="63D3B0F1" w14:textId="77777777" w:rsidTr="002C037B">
        <w:tc>
          <w:tcPr>
            <w:tcW w:w="2965" w:type="dxa"/>
          </w:tcPr>
          <w:p w14:paraId="302D2688" w14:textId="4F227C9B" w:rsidR="006C5A89" w:rsidRPr="006C5A89" w:rsidRDefault="006C5A89" w:rsidP="001A2F96">
            <w:r>
              <w:t>China Telecom</w:t>
            </w:r>
          </w:p>
        </w:tc>
        <w:tc>
          <w:tcPr>
            <w:tcW w:w="6385" w:type="dxa"/>
          </w:tcPr>
          <w:p w14:paraId="19A64FE3" w14:textId="77777777" w:rsidR="006350EA" w:rsidRDefault="006350EA" w:rsidP="006350EA">
            <w:r>
              <w:t xml:space="preserve">Scenario: </w:t>
            </w:r>
          </w:p>
          <w:p w14:paraId="6276CF46" w14:textId="07DF394F" w:rsidR="006350EA" w:rsidRDefault="006350EA" w:rsidP="006350EA">
            <w:pPr>
              <w:pStyle w:val="ListParagraph"/>
              <w:numPr>
                <w:ilvl w:val="0"/>
                <w:numId w:val="14"/>
              </w:numPr>
            </w:pPr>
            <w:r>
              <w:t>In NR initial deployment, we only consider shared RAN</w:t>
            </w:r>
            <w:r w:rsidRPr="00CF6471">
              <w:t xml:space="preserve"> </w:t>
            </w:r>
            <w:r>
              <w:t>in indoor scenario. One NR indoor frequency, shared by two operators, broadcast multiple PLMN ids with associated cell ids and 5GS TACs.</w:t>
            </w:r>
          </w:p>
          <w:p w14:paraId="02FAA47F" w14:textId="77777777" w:rsidR="006350EA" w:rsidRDefault="006350EA" w:rsidP="006350EA">
            <w:r>
              <w:t xml:space="preserve">View on the interface: </w:t>
            </w:r>
          </w:p>
          <w:p w14:paraId="4F2BF145" w14:textId="2E9B9EEF" w:rsidR="006C5A89" w:rsidRPr="006350EA" w:rsidRDefault="006350EA" w:rsidP="00557AAC">
            <w:pPr>
              <w:pStyle w:val="ListParagraph"/>
              <w:numPr>
                <w:ilvl w:val="0"/>
                <w:numId w:val="13"/>
              </w:numPr>
            </w:pPr>
            <w:r>
              <w:t xml:space="preserve">In our understanding, the “Common interface” has less impact on specifications and implementation. Therefore, supporting the "Common interface" in Rel-15 is </w:t>
            </w:r>
            <w:proofErr w:type="gramStart"/>
            <w:r>
              <w:t>sufficient</w:t>
            </w:r>
            <w:proofErr w:type="gramEnd"/>
            <w:r>
              <w:t xml:space="preserve"> for our current network deployment. </w:t>
            </w:r>
            <w:r w:rsidR="00143F87">
              <w:t>Per PLMN</w:t>
            </w:r>
            <w:r w:rsidR="00143F87" w:rsidRPr="00143F87">
              <w:t xml:space="preserve"> interface for disaggregated gNB could be considered further in later release</w:t>
            </w:r>
          </w:p>
        </w:tc>
      </w:tr>
      <w:tr w:rsidR="00AB62E2" w14:paraId="727DC940" w14:textId="77777777" w:rsidTr="00AB62E2">
        <w:tc>
          <w:tcPr>
            <w:tcW w:w="2965" w:type="dxa"/>
          </w:tcPr>
          <w:p w14:paraId="2589D380" w14:textId="77777777" w:rsidR="00AB62E2" w:rsidRDefault="00AB62E2" w:rsidP="004671E3">
            <w:r>
              <w:t>Bell</w:t>
            </w:r>
          </w:p>
        </w:tc>
        <w:tc>
          <w:tcPr>
            <w:tcW w:w="6385" w:type="dxa"/>
          </w:tcPr>
          <w:p w14:paraId="33838CB9" w14:textId="77777777" w:rsidR="00AB62E2" w:rsidRDefault="00AB62E2" w:rsidP="004671E3">
            <w:r>
              <w:t>Scenarios:</w:t>
            </w:r>
          </w:p>
          <w:p w14:paraId="58BA6A06" w14:textId="77777777" w:rsidR="00AB62E2" w:rsidRDefault="00AB62E2" w:rsidP="004671E3">
            <w:pPr>
              <w:pStyle w:val="ListParagraph"/>
              <w:numPr>
                <w:ilvl w:val="0"/>
                <w:numId w:val="15"/>
              </w:numPr>
            </w:pPr>
            <w:r>
              <w:t>Operator A supports EN-DC only and operator B supports NR SA only</w:t>
            </w:r>
          </w:p>
          <w:p w14:paraId="028259B3" w14:textId="77777777" w:rsidR="00AB62E2" w:rsidRDefault="00AB62E2" w:rsidP="004671E3">
            <w:pPr>
              <w:pStyle w:val="ListParagraph"/>
              <w:numPr>
                <w:ilvl w:val="0"/>
                <w:numId w:val="15"/>
              </w:numPr>
            </w:pPr>
            <w:r>
              <w:t>Operator A supports EN-DC and NR SA and operator B supports NR SA only</w:t>
            </w:r>
          </w:p>
          <w:p w14:paraId="5DB7E29F" w14:textId="77777777" w:rsidR="00AB62E2" w:rsidRDefault="00AB62E2" w:rsidP="004671E3">
            <w:r>
              <w:lastRenderedPageBreak/>
              <w:t xml:space="preserve">At least one solution shall be implemented in </w:t>
            </w:r>
            <w:proofErr w:type="spellStart"/>
            <w:r>
              <w:t>Rel</w:t>
            </w:r>
            <w:proofErr w:type="spellEnd"/>
            <w:r>
              <w:t xml:space="preserve"> 15 to cover mentioned use cases.</w:t>
            </w:r>
          </w:p>
        </w:tc>
      </w:tr>
    </w:tbl>
    <w:p w14:paraId="791D754F" w14:textId="7A2A3FD9" w:rsidR="001A2F96" w:rsidRDefault="001A2F96" w:rsidP="001A2F96"/>
    <w:p w14:paraId="41E05441" w14:textId="560D1528" w:rsidR="001A2F96" w:rsidRDefault="001A2F96" w:rsidP="001A2F96"/>
    <w:p w14:paraId="4EF18DAD" w14:textId="77777777" w:rsidR="001A2F96" w:rsidRPr="001A2F96" w:rsidRDefault="001A2F96" w:rsidP="001A2F96"/>
    <w:p w14:paraId="1BD0D5C5" w14:textId="28A8269B" w:rsidR="00CB590C" w:rsidRDefault="001A2F96" w:rsidP="001A2F96">
      <w:pPr>
        <w:pStyle w:val="Heading1"/>
        <w:rPr>
          <w:lang w:val="en-US"/>
        </w:rPr>
      </w:pPr>
      <w:r>
        <w:rPr>
          <w:lang w:val="en-US"/>
        </w:rPr>
        <w:t>Way Forward</w:t>
      </w:r>
    </w:p>
    <w:p w14:paraId="1CCDCB57" w14:textId="77777777" w:rsidR="009269C8" w:rsidRDefault="009269C8" w:rsidP="009269C8">
      <w:pPr>
        <w:rPr>
          <w:lang w:val="en-US"/>
        </w:rPr>
      </w:pPr>
      <w:r>
        <w:rPr>
          <w:lang w:val="en-US"/>
        </w:rPr>
        <w:t>Proposal for the way forward:</w:t>
      </w:r>
    </w:p>
    <w:p w14:paraId="1DFE7E7B" w14:textId="1DEEC129" w:rsidR="009269C8" w:rsidRDefault="009269C8" w:rsidP="009269C8">
      <w:pPr>
        <w:pStyle w:val="ListParagraph"/>
        <w:numPr>
          <w:ilvl w:val="0"/>
          <w:numId w:val="12"/>
        </w:numPr>
        <w:rPr>
          <w:lang w:val="en-US"/>
        </w:rPr>
      </w:pPr>
      <w:r>
        <w:rPr>
          <w:lang w:val="en-US"/>
        </w:rPr>
        <w:t xml:space="preserve">Agree that for Release-15 </w:t>
      </w:r>
      <w:r w:rsidR="00823955">
        <w:rPr>
          <w:lang w:val="en-US"/>
        </w:rPr>
        <w:t xml:space="preserve">network </w:t>
      </w:r>
      <w:proofErr w:type="spellStart"/>
      <w:r w:rsidR="00823955">
        <w:rPr>
          <w:lang w:val="en-US"/>
        </w:rPr>
        <w:t>signalling</w:t>
      </w:r>
      <w:proofErr w:type="spellEnd"/>
      <w:r w:rsidR="00823955">
        <w:rPr>
          <w:lang w:val="en-US"/>
        </w:rPr>
        <w:t xml:space="preserve"> </w:t>
      </w:r>
      <w:r>
        <w:rPr>
          <w:lang w:val="en-US"/>
        </w:rPr>
        <w:t xml:space="preserve">currently supports RAN Sharing at the parity of LTE </w:t>
      </w:r>
      <w:r w:rsidR="00823955">
        <w:rPr>
          <w:lang w:val="en-US"/>
        </w:rPr>
        <w:t>(</w:t>
      </w:r>
      <w:r w:rsidR="00823955">
        <w:t>single cell id, single TAC and multiple PLMN</w:t>
      </w:r>
      <w:r w:rsidR="00823955">
        <w:rPr>
          <w:lang w:val="en-US"/>
        </w:rPr>
        <w:t>).</w:t>
      </w:r>
    </w:p>
    <w:p w14:paraId="1F2B16AB" w14:textId="2B4B5C4D" w:rsidR="009269C8" w:rsidRDefault="009269C8" w:rsidP="009269C8">
      <w:pPr>
        <w:pStyle w:val="ListParagraph"/>
        <w:numPr>
          <w:ilvl w:val="0"/>
          <w:numId w:val="12"/>
        </w:numPr>
        <w:rPr>
          <w:lang w:val="en-US"/>
        </w:rPr>
      </w:pPr>
      <w:r>
        <w:rPr>
          <w:lang w:val="en-US"/>
        </w:rPr>
        <w:t xml:space="preserve">Agree that RAN3 will support both common and per-PLMN interfaces </w:t>
      </w:r>
      <w:r w:rsidR="007E0C17">
        <w:rPr>
          <w:lang w:val="en-US"/>
        </w:rPr>
        <w:t>for NG-RAN sharing</w:t>
      </w:r>
      <w:r w:rsidR="00823955">
        <w:rPr>
          <w:lang w:val="en-US"/>
        </w:rPr>
        <w:t>,</w:t>
      </w:r>
      <w:r w:rsidR="002F127A">
        <w:rPr>
          <w:lang w:val="en-US"/>
        </w:rPr>
        <w:t xml:space="preserve"> including </w:t>
      </w:r>
      <w:r w:rsidR="00604AE7">
        <w:rPr>
          <w:lang w:val="en-US"/>
        </w:rPr>
        <w:t xml:space="preserve">interworking </w:t>
      </w:r>
      <w:r w:rsidR="00823955">
        <w:rPr>
          <w:lang w:val="en-US"/>
        </w:rPr>
        <w:t>with</w:t>
      </w:r>
      <w:r w:rsidR="00604AE7">
        <w:rPr>
          <w:lang w:val="en-US"/>
        </w:rPr>
        <w:t xml:space="preserve"> </w:t>
      </w:r>
      <w:proofErr w:type="spellStart"/>
      <w:r w:rsidR="00604AE7">
        <w:rPr>
          <w:lang w:val="en-US"/>
        </w:rPr>
        <w:t>gNBs</w:t>
      </w:r>
      <w:proofErr w:type="spellEnd"/>
      <w:r w:rsidR="00604AE7">
        <w:rPr>
          <w:lang w:val="en-US"/>
        </w:rPr>
        <w:t xml:space="preserve"> supporting both EN-DC</w:t>
      </w:r>
      <w:r w:rsidR="00823955">
        <w:rPr>
          <w:lang w:val="en-US"/>
        </w:rPr>
        <w:t xml:space="preserve"> </w:t>
      </w:r>
      <w:r w:rsidR="00604AE7">
        <w:rPr>
          <w:lang w:val="en-US"/>
        </w:rPr>
        <w:t>(single-cell id/TAC</w:t>
      </w:r>
      <w:r w:rsidR="00AB62E2">
        <w:rPr>
          <w:lang w:val="en-US"/>
        </w:rPr>
        <w:t xml:space="preserve"> in eNB</w:t>
      </w:r>
      <w:r w:rsidR="00604AE7">
        <w:rPr>
          <w:lang w:val="en-US"/>
        </w:rPr>
        <w:t>) and NR Standalone (multi cell id /TAC)</w:t>
      </w:r>
      <w:r w:rsidR="002F127A">
        <w:rPr>
          <w:lang w:val="en-US"/>
        </w:rPr>
        <w:t xml:space="preserve">. </w:t>
      </w:r>
    </w:p>
    <w:p w14:paraId="30FD5DB6" w14:textId="3C88CF81" w:rsidR="009269C8" w:rsidRDefault="009269C8" w:rsidP="009269C8">
      <w:pPr>
        <w:pStyle w:val="ListParagraph"/>
        <w:numPr>
          <w:ilvl w:val="0"/>
          <w:numId w:val="12"/>
        </w:numPr>
        <w:rPr>
          <w:lang w:val="en-US"/>
        </w:rPr>
      </w:pPr>
      <w:r>
        <w:rPr>
          <w:lang w:val="en-US"/>
        </w:rPr>
        <w:t xml:space="preserve">Agree to one </w:t>
      </w:r>
      <w:bookmarkStart w:id="1" w:name="_GoBack"/>
      <w:bookmarkEnd w:id="1"/>
      <w:r w:rsidR="001C041F">
        <w:rPr>
          <w:lang w:val="en-US"/>
        </w:rPr>
        <w:t xml:space="preserve">of </w:t>
      </w:r>
      <w:r>
        <w:rPr>
          <w:lang w:val="en-US"/>
        </w:rPr>
        <w:t>the below options:</w:t>
      </w:r>
    </w:p>
    <w:p w14:paraId="4746FF2A" w14:textId="466AEF6B" w:rsidR="009269C8" w:rsidRDefault="009269C8" w:rsidP="009269C8">
      <w:pPr>
        <w:pStyle w:val="ListParagraph"/>
        <w:numPr>
          <w:ilvl w:val="1"/>
          <w:numId w:val="12"/>
        </w:numPr>
        <w:rPr>
          <w:lang w:val="en-US"/>
        </w:rPr>
      </w:pPr>
      <w:r>
        <w:rPr>
          <w:lang w:val="en-US"/>
        </w:rPr>
        <w:t>Enhancements beyond parity with LTE</w:t>
      </w:r>
      <w:r w:rsidR="007E0C17">
        <w:rPr>
          <w:lang w:val="en-US"/>
        </w:rPr>
        <w:t xml:space="preserve"> (documented above) are</w:t>
      </w:r>
      <w:r>
        <w:rPr>
          <w:lang w:val="en-US"/>
        </w:rPr>
        <w:t xml:space="preserve"> stopped in release-15. A </w:t>
      </w:r>
      <w:r w:rsidR="007E0C17">
        <w:rPr>
          <w:lang w:val="en-US"/>
        </w:rPr>
        <w:t xml:space="preserve">Release-16 </w:t>
      </w:r>
      <w:r>
        <w:rPr>
          <w:lang w:val="en-US"/>
        </w:rPr>
        <w:t xml:space="preserve">work item is created which includes support for multiple cell RAN sharing for both common and </w:t>
      </w:r>
      <w:r w:rsidR="007E0C17">
        <w:rPr>
          <w:lang w:val="en-US"/>
        </w:rPr>
        <w:t>per-</w:t>
      </w:r>
      <w:r>
        <w:rPr>
          <w:lang w:val="en-US"/>
        </w:rPr>
        <w:t xml:space="preserve">PLMN interfaces including full support for all methods over F1 for CU/DU split. </w:t>
      </w:r>
      <w:r w:rsidR="005F5A77">
        <w:rPr>
          <w:lang w:val="en-US"/>
        </w:rPr>
        <w:t xml:space="preserve">We need to agree if/how to document release-15 support in stage 2. </w:t>
      </w:r>
    </w:p>
    <w:p w14:paraId="4FBE0F82" w14:textId="77777777" w:rsidR="00823955" w:rsidRDefault="009269C8" w:rsidP="009269C8">
      <w:pPr>
        <w:pStyle w:val="ListParagraph"/>
        <w:numPr>
          <w:ilvl w:val="1"/>
          <w:numId w:val="12"/>
        </w:numPr>
        <w:rPr>
          <w:lang w:val="en-US"/>
        </w:rPr>
      </w:pPr>
      <w:r>
        <w:rPr>
          <w:lang w:val="en-US"/>
        </w:rPr>
        <w:t>Work continues in Release-15 for both common and per-PLMN interfaces including full support for all methods over F1 for CU/DU split.</w:t>
      </w:r>
    </w:p>
    <w:p w14:paraId="1B69D8D1" w14:textId="77777777" w:rsidR="00A71BA9" w:rsidRDefault="00823955" w:rsidP="009269C8">
      <w:pPr>
        <w:pStyle w:val="ListParagraph"/>
        <w:numPr>
          <w:ilvl w:val="1"/>
          <w:numId w:val="12"/>
        </w:numPr>
        <w:rPr>
          <w:lang w:val="en-US"/>
        </w:rPr>
      </w:pPr>
      <w:r>
        <w:rPr>
          <w:lang w:val="en-US"/>
        </w:rPr>
        <w:t>Rel-15 correction for common interface</w:t>
      </w:r>
      <w:r w:rsidR="00A71BA9">
        <w:rPr>
          <w:lang w:val="en-US"/>
        </w:rPr>
        <w:t>, Rel-16 for per-PLMN</w:t>
      </w:r>
    </w:p>
    <w:p w14:paraId="47F8356F" w14:textId="1F7FA955" w:rsidR="009269C8" w:rsidRDefault="00A71BA9" w:rsidP="009269C8">
      <w:pPr>
        <w:pStyle w:val="ListParagraph"/>
        <w:numPr>
          <w:ilvl w:val="1"/>
          <w:numId w:val="12"/>
        </w:numPr>
        <w:rPr>
          <w:lang w:val="en-US"/>
        </w:rPr>
      </w:pPr>
      <w:r>
        <w:rPr>
          <w:lang w:val="en-US"/>
        </w:rPr>
        <w:t>Rel-15 correction for per-PLMN, Release-16 for common</w:t>
      </w:r>
      <w:r w:rsidR="00823955">
        <w:rPr>
          <w:lang w:val="en-US"/>
        </w:rPr>
        <w:t>.</w:t>
      </w:r>
      <w:r w:rsidR="009269C8">
        <w:rPr>
          <w:lang w:val="en-US"/>
        </w:rPr>
        <w:t xml:space="preserve"> </w:t>
      </w:r>
    </w:p>
    <w:p w14:paraId="55DDC8BF" w14:textId="3DC2ED5D" w:rsidR="002C037B" w:rsidRPr="007E0C17" w:rsidRDefault="007E0C17" w:rsidP="00CD7D2D">
      <w:pPr>
        <w:pStyle w:val="ListParagraph"/>
        <w:numPr>
          <w:ilvl w:val="0"/>
          <w:numId w:val="12"/>
        </w:numPr>
        <w:rPr>
          <w:lang w:val="en-US"/>
        </w:rPr>
      </w:pPr>
      <w:r w:rsidRPr="007E0C17">
        <w:rPr>
          <w:lang w:val="en-US"/>
        </w:rPr>
        <w:t xml:space="preserve">Since it is clear from both online and offline discussions, the big blocking point in approving </w:t>
      </w:r>
      <w:r w:rsidR="005F5A77">
        <w:rPr>
          <w:lang w:val="en-US"/>
        </w:rPr>
        <w:t xml:space="preserve">either </w:t>
      </w:r>
      <w:r w:rsidRPr="007E0C17">
        <w:rPr>
          <w:lang w:val="en-US"/>
        </w:rPr>
        <w:t xml:space="preserve">common or per-PLMN interfaces are disputes in logical architecture, we agree to step back and spend the April meeting discussing and agreeing to </w:t>
      </w:r>
      <w:r w:rsidR="005F5A77">
        <w:rPr>
          <w:lang w:val="en-US"/>
        </w:rPr>
        <w:t>what t</w:t>
      </w:r>
      <w:r w:rsidRPr="007E0C17">
        <w:rPr>
          <w:lang w:val="en-US"/>
        </w:rPr>
        <w:t>he logical architecture for RAN sharing</w:t>
      </w:r>
      <w:r w:rsidR="005F5A77">
        <w:rPr>
          <w:lang w:val="en-US"/>
        </w:rPr>
        <w:t xml:space="preserve"> looks like</w:t>
      </w:r>
      <w:r w:rsidR="00E309D2">
        <w:rPr>
          <w:lang w:val="en-US"/>
        </w:rPr>
        <w:t>.</w:t>
      </w:r>
      <w:r w:rsidRPr="007E0C17">
        <w:rPr>
          <w:lang w:val="en-US"/>
        </w:rPr>
        <w:t xml:space="preserve"> This is applicable whether we open a new work item or continue work in release 15. </w:t>
      </w:r>
    </w:p>
    <w:sectPr w:rsidR="002C037B" w:rsidRPr="007E0C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A0CAB" w14:textId="77777777" w:rsidR="009D31BB" w:rsidRDefault="009D31BB" w:rsidP="00F23000">
      <w:pPr>
        <w:spacing w:after="0"/>
      </w:pPr>
      <w:r>
        <w:separator/>
      </w:r>
    </w:p>
  </w:endnote>
  <w:endnote w:type="continuationSeparator" w:id="0">
    <w:p w14:paraId="153C4F82" w14:textId="77777777" w:rsidR="009D31BB" w:rsidRDefault="009D31BB" w:rsidP="00F23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6B52B" w14:textId="77777777" w:rsidR="009D31BB" w:rsidRDefault="009D31BB" w:rsidP="00F23000">
      <w:pPr>
        <w:spacing w:after="0"/>
      </w:pPr>
      <w:r>
        <w:separator/>
      </w:r>
    </w:p>
  </w:footnote>
  <w:footnote w:type="continuationSeparator" w:id="0">
    <w:p w14:paraId="2513C399" w14:textId="77777777" w:rsidR="009D31BB" w:rsidRDefault="009D31BB" w:rsidP="00F23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984802"/>
    <w:multiLevelType w:val="hybridMultilevel"/>
    <w:tmpl w:val="9A36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542F7"/>
    <w:multiLevelType w:val="hybridMultilevel"/>
    <w:tmpl w:val="8FA2BF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C5348E9"/>
    <w:multiLevelType w:val="hybridMultilevel"/>
    <w:tmpl w:val="8AAED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56181"/>
    <w:multiLevelType w:val="hybridMultilevel"/>
    <w:tmpl w:val="5F281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C70F1"/>
    <w:multiLevelType w:val="hybridMultilevel"/>
    <w:tmpl w:val="D1A8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F485E"/>
    <w:multiLevelType w:val="hybridMultilevel"/>
    <w:tmpl w:val="E3DC3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C92500"/>
    <w:multiLevelType w:val="hybridMultilevel"/>
    <w:tmpl w:val="4F200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E7481"/>
    <w:multiLevelType w:val="hybridMultilevel"/>
    <w:tmpl w:val="96861B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D11F14"/>
    <w:multiLevelType w:val="hybridMultilevel"/>
    <w:tmpl w:val="01160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num>
  <w:num w:numId="6">
    <w:abstractNumId w:val="5"/>
  </w:num>
  <w:num w:numId="7">
    <w:abstractNumId w:val="10"/>
  </w:num>
  <w:num w:numId="8">
    <w:abstractNumId w:val="2"/>
  </w:num>
  <w:num w:numId="9">
    <w:abstractNumId w:val="6"/>
  </w:num>
  <w:num w:numId="10">
    <w:abstractNumId w:val="14"/>
  </w:num>
  <w:num w:numId="11">
    <w:abstractNumId w:val="11"/>
  </w:num>
  <w:num w:numId="12">
    <w:abstractNumId w:val="13"/>
  </w:num>
  <w:num w:numId="13">
    <w:abstractNumId w:val="12"/>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0"/>
  <w:activeWritingStyle w:appName="MSWord" w:lang="de-DE" w:vendorID="64" w:dllVersion="0" w:nlCheck="1" w:checkStyle="0"/>
  <w:proofState w:spelling="clean" w:grammar="clean"/>
  <w:trackRevisions/>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50"/>
    <w:rsid w:val="00013034"/>
    <w:rsid w:val="00021A6F"/>
    <w:rsid w:val="000232D6"/>
    <w:rsid w:val="00031426"/>
    <w:rsid w:val="0003330C"/>
    <w:rsid w:val="00033CCF"/>
    <w:rsid w:val="00062B2C"/>
    <w:rsid w:val="0008623F"/>
    <w:rsid w:val="00092D89"/>
    <w:rsid w:val="00094949"/>
    <w:rsid w:val="0009660C"/>
    <w:rsid w:val="000A770D"/>
    <w:rsid w:val="000B4931"/>
    <w:rsid w:val="000C0731"/>
    <w:rsid w:val="000C72B7"/>
    <w:rsid w:val="000E767A"/>
    <w:rsid w:val="000F5A07"/>
    <w:rsid w:val="00113CDD"/>
    <w:rsid w:val="00123716"/>
    <w:rsid w:val="00127ED7"/>
    <w:rsid w:val="0013053E"/>
    <w:rsid w:val="001325A4"/>
    <w:rsid w:val="00143F87"/>
    <w:rsid w:val="001472DF"/>
    <w:rsid w:val="0016131E"/>
    <w:rsid w:val="001A2163"/>
    <w:rsid w:val="001A2F96"/>
    <w:rsid w:val="001A520A"/>
    <w:rsid w:val="001A6E93"/>
    <w:rsid w:val="001B4631"/>
    <w:rsid w:val="001B603C"/>
    <w:rsid w:val="001C041F"/>
    <w:rsid w:val="001C3410"/>
    <w:rsid w:val="00200C8E"/>
    <w:rsid w:val="00201856"/>
    <w:rsid w:val="00211A10"/>
    <w:rsid w:val="00212413"/>
    <w:rsid w:val="0022104F"/>
    <w:rsid w:val="002229C1"/>
    <w:rsid w:val="0025301B"/>
    <w:rsid w:val="00254152"/>
    <w:rsid w:val="002548E0"/>
    <w:rsid w:val="0026584E"/>
    <w:rsid w:val="00266BF0"/>
    <w:rsid w:val="0027657B"/>
    <w:rsid w:val="002847FF"/>
    <w:rsid w:val="002A625D"/>
    <w:rsid w:val="002B0179"/>
    <w:rsid w:val="002B0C58"/>
    <w:rsid w:val="002C037B"/>
    <w:rsid w:val="002D06B9"/>
    <w:rsid w:val="002E08F0"/>
    <w:rsid w:val="002F127A"/>
    <w:rsid w:val="0030296D"/>
    <w:rsid w:val="00320ED1"/>
    <w:rsid w:val="0032516E"/>
    <w:rsid w:val="00330150"/>
    <w:rsid w:val="00332767"/>
    <w:rsid w:val="00332B58"/>
    <w:rsid w:val="00342FD0"/>
    <w:rsid w:val="003442A0"/>
    <w:rsid w:val="0034769F"/>
    <w:rsid w:val="00347738"/>
    <w:rsid w:val="0035050E"/>
    <w:rsid w:val="0037157D"/>
    <w:rsid w:val="0038584D"/>
    <w:rsid w:val="00386729"/>
    <w:rsid w:val="003A15BA"/>
    <w:rsid w:val="003A44A7"/>
    <w:rsid w:val="003B0307"/>
    <w:rsid w:val="003B0994"/>
    <w:rsid w:val="003B58B1"/>
    <w:rsid w:val="003C5CDA"/>
    <w:rsid w:val="003C7C65"/>
    <w:rsid w:val="003E3D49"/>
    <w:rsid w:val="003E5D93"/>
    <w:rsid w:val="00402B42"/>
    <w:rsid w:val="0040319F"/>
    <w:rsid w:val="00404AAB"/>
    <w:rsid w:val="00407A96"/>
    <w:rsid w:val="00410082"/>
    <w:rsid w:val="00415A35"/>
    <w:rsid w:val="00416AA7"/>
    <w:rsid w:val="00416B4A"/>
    <w:rsid w:val="00426020"/>
    <w:rsid w:val="004313B1"/>
    <w:rsid w:val="0043474D"/>
    <w:rsid w:val="00436EEA"/>
    <w:rsid w:val="00452D41"/>
    <w:rsid w:val="00472909"/>
    <w:rsid w:val="004752CA"/>
    <w:rsid w:val="00482206"/>
    <w:rsid w:val="00487A4D"/>
    <w:rsid w:val="004B0BF6"/>
    <w:rsid w:val="004B1075"/>
    <w:rsid w:val="004C5642"/>
    <w:rsid w:val="004D2A57"/>
    <w:rsid w:val="004D2D88"/>
    <w:rsid w:val="004E1AAD"/>
    <w:rsid w:val="004E3579"/>
    <w:rsid w:val="004E7B2A"/>
    <w:rsid w:val="005109C6"/>
    <w:rsid w:val="00515B7B"/>
    <w:rsid w:val="00515BE7"/>
    <w:rsid w:val="00530662"/>
    <w:rsid w:val="0053141F"/>
    <w:rsid w:val="0054273C"/>
    <w:rsid w:val="00542C9C"/>
    <w:rsid w:val="00557AAC"/>
    <w:rsid w:val="00561286"/>
    <w:rsid w:val="00566AA6"/>
    <w:rsid w:val="00572F0C"/>
    <w:rsid w:val="00583598"/>
    <w:rsid w:val="00583BD3"/>
    <w:rsid w:val="00587ACA"/>
    <w:rsid w:val="005929E1"/>
    <w:rsid w:val="0059516D"/>
    <w:rsid w:val="005A66A5"/>
    <w:rsid w:val="005B76B1"/>
    <w:rsid w:val="005C3AE4"/>
    <w:rsid w:val="005D4DDE"/>
    <w:rsid w:val="005E6D81"/>
    <w:rsid w:val="005F5A77"/>
    <w:rsid w:val="006025A3"/>
    <w:rsid w:val="00604A91"/>
    <w:rsid w:val="00604AE7"/>
    <w:rsid w:val="00610BD2"/>
    <w:rsid w:val="006223BA"/>
    <w:rsid w:val="006350EA"/>
    <w:rsid w:val="006549F3"/>
    <w:rsid w:val="006926FF"/>
    <w:rsid w:val="0069716F"/>
    <w:rsid w:val="006A3845"/>
    <w:rsid w:val="006A7DF1"/>
    <w:rsid w:val="006B47C8"/>
    <w:rsid w:val="006C1EE4"/>
    <w:rsid w:val="006C5A89"/>
    <w:rsid w:val="006D6800"/>
    <w:rsid w:val="006F3707"/>
    <w:rsid w:val="0070127A"/>
    <w:rsid w:val="00706427"/>
    <w:rsid w:val="00712174"/>
    <w:rsid w:val="007234CF"/>
    <w:rsid w:val="00767809"/>
    <w:rsid w:val="0077208F"/>
    <w:rsid w:val="0077229D"/>
    <w:rsid w:val="007736F7"/>
    <w:rsid w:val="00775BB2"/>
    <w:rsid w:val="00776D1D"/>
    <w:rsid w:val="00783A5F"/>
    <w:rsid w:val="00784BE7"/>
    <w:rsid w:val="00795C42"/>
    <w:rsid w:val="007C3987"/>
    <w:rsid w:val="007C3CBC"/>
    <w:rsid w:val="007D1356"/>
    <w:rsid w:val="007E0C17"/>
    <w:rsid w:val="007E5328"/>
    <w:rsid w:val="007F2380"/>
    <w:rsid w:val="007F5195"/>
    <w:rsid w:val="007F6775"/>
    <w:rsid w:val="00803CB1"/>
    <w:rsid w:val="008227DE"/>
    <w:rsid w:val="00823955"/>
    <w:rsid w:val="00825712"/>
    <w:rsid w:val="00831445"/>
    <w:rsid w:val="00840EAC"/>
    <w:rsid w:val="00844249"/>
    <w:rsid w:val="00861947"/>
    <w:rsid w:val="00863657"/>
    <w:rsid w:val="00891465"/>
    <w:rsid w:val="0089292F"/>
    <w:rsid w:val="00893CC7"/>
    <w:rsid w:val="008B0C8E"/>
    <w:rsid w:val="008B16EA"/>
    <w:rsid w:val="008C44C4"/>
    <w:rsid w:val="008C54F7"/>
    <w:rsid w:val="008D3C1F"/>
    <w:rsid w:val="008E6F3D"/>
    <w:rsid w:val="00904B1C"/>
    <w:rsid w:val="00912269"/>
    <w:rsid w:val="00912FA9"/>
    <w:rsid w:val="00915CC8"/>
    <w:rsid w:val="009269C8"/>
    <w:rsid w:val="00927855"/>
    <w:rsid w:val="00960EFC"/>
    <w:rsid w:val="0097555C"/>
    <w:rsid w:val="0098139B"/>
    <w:rsid w:val="009853C4"/>
    <w:rsid w:val="009A524B"/>
    <w:rsid w:val="009A621B"/>
    <w:rsid w:val="009A7FE0"/>
    <w:rsid w:val="009B02DC"/>
    <w:rsid w:val="009B0B86"/>
    <w:rsid w:val="009C46BD"/>
    <w:rsid w:val="009C7095"/>
    <w:rsid w:val="009D31BB"/>
    <w:rsid w:val="009E01D5"/>
    <w:rsid w:val="009E6515"/>
    <w:rsid w:val="009F0E98"/>
    <w:rsid w:val="009F5423"/>
    <w:rsid w:val="00A05EC5"/>
    <w:rsid w:val="00A33A9C"/>
    <w:rsid w:val="00A35CD9"/>
    <w:rsid w:val="00A50AD6"/>
    <w:rsid w:val="00A62002"/>
    <w:rsid w:val="00A71BA9"/>
    <w:rsid w:val="00A75F1A"/>
    <w:rsid w:val="00A81ABA"/>
    <w:rsid w:val="00A95E8D"/>
    <w:rsid w:val="00AA3E4D"/>
    <w:rsid w:val="00AA4083"/>
    <w:rsid w:val="00AA4369"/>
    <w:rsid w:val="00AB41DF"/>
    <w:rsid w:val="00AB62E2"/>
    <w:rsid w:val="00AD4E4E"/>
    <w:rsid w:val="00AE4ABF"/>
    <w:rsid w:val="00AF3D0C"/>
    <w:rsid w:val="00B1397A"/>
    <w:rsid w:val="00B172EB"/>
    <w:rsid w:val="00B17460"/>
    <w:rsid w:val="00B21581"/>
    <w:rsid w:val="00B22878"/>
    <w:rsid w:val="00B24558"/>
    <w:rsid w:val="00B26225"/>
    <w:rsid w:val="00B345E8"/>
    <w:rsid w:val="00B73F75"/>
    <w:rsid w:val="00B86FBA"/>
    <w:rsid w:val="00B91C0E"/>
    <w:rsid w:val="00B92393"/>
    <w:rsid w:val="00BA5B20"/>
    <w:rsid w:val="00BB0ACC"/>
    <w:rsid w:val="00BC3D1D"/>
    <w:rsid w:val="00BD4349"/>
    <w:rsid w:val="00BD4741"/>
    <w:rsid w:val="00BD5997"/>
    <w:rsid w:val="00BE119C"/>
    <w:rsid w:val="00BE2CA6"/>
    <w:rsid w:val="00BE37F1"/>
    <w:rsid w:val="00BE65F4"/>
    <w:rsid w:val="00BF007B"/>
    <w:rsid w:val="00C27064"/>
    <w:rsid w:val="00C31BC3"/>
    <w:rsid w:val="00C370C2"/>
    <w:rsid w:val="00C612C3"/>
    <w:rsid w:val="00C61DEC"/>
    <w:rsid w:val="00CA2F75"/>
    <w:rsid w:val="00CB5003"/>
    <w:rsid w:val="00CB590C"/>
    <w:rsid w:val="00CB6F88"/>
    <w:rsid w:val="00CB711E"/>
    <w:rsid w:val="00CD04E4"/>
    <w:rsid w:val="00CE413D"/>
    <w:rsid w:val="00CE6017"/>
    <w:rsid w:val="00CF2D28"/>
    <w:rsid w:val="00CF52CA"/>
    <w:rsid w:val="00D11787"/>
    <w:rsid w:val="00D1518A"/>
    <w:rsid w:val="00D24E20"/>
    <w:rsid w:val="00D32EB9"/>
    <w:rsid w:val="00D619C5"/>
    <w:rsid w:val="00D6695E"/>
    <w:rsid w:val="00DA07FD"/>
    <w:rsid w:val="00DA09D1"/>
    <w:rsid w:val="00DC1F63"/>
    <w:rsid w:val="00DC4AF9"/>
    <w:rsid w:val="00DD09DA"/>
    <w:rsid w:val="00DE1A86"/>
    <w:rsid w:val="00DE31AE"/>
    <w:rsid w:val="00DF3557"/>
    <w:rsid w:val="00DF4FB5"/>
    <w:rsid w:val="00E03F83"/>
    <w:rsid w:val="00E10B96"/>
    <w:rsid w:val="00E21096"/>
    <w:rsid w:val="00E309D2"/>
    <w:rsid w:val="00E32DBD"/>
    <w:rsid w:val="00E41EE7"/>
    <w:rsid w:val="00E438CE"/>
    <w:rsid w:val="00E46AD2"/>
    <w:rsid w:val="00E720AB"/>
    <w:rsid w:val="00E85301"/>
    <w:rsid w:val="00E85D3E"/>
    <w:rsid w:val="00E909E1"/>
    <w:rsid w:val="00E914AD"/>
    <w:rsid w:val="00E94B09"/>
    <w:rsid w:val="00EA7743"/>
    <w:rsid w:val="00EB1E3E"/>
    <w:rsid w:val="00EB2C3C"/>
    <w:rsid w:val="00EB2D8C"/>
    <w:rsid w:val="00EC14D2"/>
    <w:rsid w:val="00EE472E"/>
    <w:rsid w:val="00F00B2A"/>
    <w:rsid w:val="00F03664"/>
    <w:rsid w:val="00F043AC"/>
    <w:rsid w:val="00F23000"/>
    <w:rsid w:val="00F24588"/>
    <w:rsid w:val="00F25ED3"/>
    <w:rsid w:val="00F30EC3"/>
    <w:rsid w:val="00F32BB6"/>
    <w:rsid w:val="00F47950"/>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41B9C24"/>
  <w15:docId w15:val="{A7877711-8ECD-4F60-A5C5-03C140B4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qFormat/>
    <w:rsid w:val="00E909E1"/>
    <w:pPr>
      <w:ind w:left="720"/>
      <w:contextualSpacing/>
    </w:pPr>
  </w:style>
  <w:style w:type="paragraph" w:customStyle="1" w:styleId="NO">
    <w:name w:val="NO"/>
    <w:basedOn w:val="Normal"/>
    <w:link w:val="NOZchn"/>
    <w:qFormat/>
    <w:rsid w:val="002A625D"/>
    <w:pPr>
      <w:keepLines/>
      <w:overflowPunct/>
      <w:autoSpaceDE/>
      <w:autoSpaceDN/>
      <w:adjustRightInd/>
      <w:spacing w:after="180"/>
      <w:ind w:left="1135" w:hanging="851"/>
      <w:jc w:val="left"/>
      <w:textAlignment w:val="auto"/>
    </w:pPr>
    <w:rPr>
      <w:rFonts w:eastAsia="Times New Roman"/>
      <w:sz w:val="20"/>
      <w:lang w:eastAsia="x-none"/>
    </w:rPr>
  </w:style>
  <w:style w:type="character" w:customStyle="1" w:styleId="NOZchn">
    <w:name w:val="NO Zchn"/>
    <w:link w:val="NO"/>
    <w:rsid w:val="002A625D"/>
    <w:rPr>
      <w:lang w:val="en-GB" w:eastAsia="x-none"/>
    </w:rPr>
  </w:style>
  <w:style w:type="character" w:customStyle="1" w:styleId="TFChar">
    <w:name w:val="TF Char"/>
    <w:rsid w:val="002A625D"/>
    <w:rPr>
      <w:rFonts w:ascii="Arial" w:eastAsia="Times New Roman" w:hAnsi="Arial" w:cs="Times New Roman"/>
      <w:b/>
      <w:sz w:val="20"/>
      <w:szCs w:val="20"/>
      <w:lang w:val="en-GB" w:eastAsia="x-none"/>
    </w:rPr>
  </w:style>
  <w:style w:type="paragraph" w:styleId="Header">
    <w:name w:val="header"/>
    <w:basedOn w:val="Normal"/>
    <w:link w:val="HeaderChar"/>
    <w:uiPriority w:val="99"/>
    <w:unhideWhenUsed/>
    <w:rsid w:val="00F23000"/>
    <w:pPr>
      <w:tabs>
        <w:tab w:val="center" w:pos="4536"/>
        <w:tab w:val="right" w:pos="9072"/>
      </w:tabs>
      <w:spacing w:after="0"/>
    </w:pPr>
  </w:style>
  <w:style w:type="character" w:customStyle="1" w:styleId="HeaderChar">
    <w:name w:val="Header Char"/>
    <w:basedOn w:val="DefaultParagraphFont"/>
    <w:link w:val="Header"/>
    <w:uiPriority w:val="99"/>
    <w:rsid w:val="00F23000"/>
    <w:rPr>
      <w:rFonts w:eastAsia="SimSun"/>
      <w:sz w:val="22"/>
      <w:lang w:val="en-GB" w:eastAsia="zh-CN"/>
    </w:rPr>
  </w:style>
  <w:style w:type="paragraph" w:styleId="Footer">
    <w:name w:val="footer"/>
    <w:basedOn w:val="Normal"/>
    <w:link w:val="FooterChar"/>
    <w:uiPriority w:val="99"/>
    <w:unhideWhenUsed/>
    <w:rsid w:val="00F23000"/>
    <w:pPr>
      <w:tabs>
        <w:tab w:val="center" w:pos="4536"/>
        <w:tab w:val="right" w:pos="9072"/>
      </w:tabs>
      <w:spacing w:after="0"/>
    </w:pPr>
  </w:style>
  <w:style w:type="character" w:customStyle="1" w:styleId="FooterChar">
    <w:name w:val="Footer Char"/>
    <w:basedOn w:val="DefaultParagraphFont"/>
    <w:link w:val="Footer"/>
    <w:uiPriority w:val="99"/>
    <w:rsid w:val="00F23000"/>
    <w:rPr>
      <w:rFonts w:eastAsia="SimSu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6267">
      <w:bodyDiv w:val="1"/>
      <w:marLeft w:val="0"/>
      <w:marRight w:val="0"/>
      <w:marTop w:val="0"/>
      <w:marBottom w:val="0"/>
      <w:divBdr>
        <w:top w:val="none" w:sz="0" w:space="0" w:color="auto"/>
        <w:left w:val="none" w:sz="0" w:space="0" w:color="auto"/>
        <w:bottom w:val="none" w:sz="0" w:space="0" w:color="auto"/>
        <w:right w:val="none" w:sz="0" w:space="0" w:color="auto"/>
      </w:divBdr>
    </w:div>
    <w:div w:id="1636519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B461-6C61-4DAA-96A6-E584961E6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880</Words>
  <Characters>5022</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Huawei Technologies Co.,Ltd.</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Jim Miller</cp:lastModifiedBy>
  <cp:revision>3</cp:revision>
  <cp:lastPrinted>2018-01-10T15:05:00Z</cp:lastPrinted>
  <dcterms:created xsi:type="dcterms:W3CDTF">2019-03-01T06:53:00Z</dcterms:created>
  <dcterms:modified xsi:type="dcterms:W3CDTF">2019-03-01T07:03:00Z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